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3A2C19" w14:textId="77777777" w:rsidR="00C40C99" w:rsidRDefault="00C40C99" w:rsidP="00EE7B86">
      <w:pPr>
        <w:rPr>
          <w:rFonts w:ascii="Times New Roman" w:hAnsi="Times New Roman" w:cs="Times New Roman"/>
          <w:sz w:val="24"/>
          <w:szCs w:val="24"/>
        </w:rPr>
      </w:pPr>
    </w:p>
    <w:p w14:paraId="5393C71E" w14:textId="67249FCD" w:rsidR="001764B2" w:rsidRDefault="001764B2" w:rsidP="00EE7B86">
      <w:pPr>
        <w:rPr>
          <w:rFonts w:ascii="Times New Roman" w:hAnsi="Times New Roman" w:cs="Times New Roman"/>
          <w:sz w:val="24"/>
          <w:szCs w:val="24"/>
        </w:rPr>
      </w:pPr>
      <w:r w:rsidRPr="00B56177">
        <w:rPr>
          <w:rFonts w:ascii="Times New Roman" w:hAnsi="Times New Roman" w:cs="Times New Roman"/>
          <w:i/>
          <w:iCs/>
          <w:sz w:val="24"/>
          <w:szCs w:val="24"/>
        </w:rPr>
        <w:t>BRIEF : the chapter will be translated for the Italian edition of the edited volume, published by an academic publisher</w:t>
      </w:r>
      <w:r>
        <w:rPr>
          <w:rFonts w:ascii="Times New Roman" w:hAnsi="Times New Roman" w:cs="Times New Roman"/>
          <w:sz w:val="24"/>
          <w:szCs w:val="24"/>
        </w:rPr>
        <w:t>.</w:t>
      </w:r>
    </w:p>
    <w:p w14:paraId="535563D6" w14:textId="77777777" w:rsidR="006C0C98" w:rsidRPr="00131FE6" w:rsidRDefault="006C0C98" w:rsidP="00EE7B86">
      <w:pPr>
        <w:rPr>
          <w:rFonts w:ascii="Times New Roman" w:hAnsi="Times New Roman" w:cs="Times New Roman"/>
          <w:sz w:val="24"/>
          <w:szCs w:val="24"/>
        </w:rPr>
      </w:pPr>
    </w:p>
    <w:p w14:paraId="28266847" w14:textId="218A083C" w:rsidR="00C819CA" w:rsidRPr="00131FE6" w:rsidRDefault="00EE7B86" w:rsidP="00131FE6">
      <w:pPr>
        <w:jc w:val="center"/>
        <w:rPr>
          <w:rFonts w:ascii="Times New Roman" w:hAnsi="Times New Roman" w:cs="Times New Roman"/>
          <w:sz w:val="24"/>
          <w:szCs w:val="24"/>
        </w:rPr>
      </w:pPr>
      <w:r w:rsidRPr="00131FE6">
        <w:rPr>
          <w:rFonts w:ascii="Times New Roman" w:hAnsi="Times New Roman" w:cs="Times New Roman"/>
          <w:b/>
          <w:bCs/>
          <w:sz w:val="24"/>
          <w:szCs w:val="24"/>
        </w:rPr>
        <w:t xml:space="preserve">The Woman as Hero in Margaret Atwood’s </w:t>
      </w:r>
      <w:r w:rsidRPr="00131FE6">
        <w:rPr>
          <w:rFonts w:ascii="Times New Roman" w:hAnsi="Times New Roman" w:cs="Times New Roman"/>
          <w:b/>
          <w:bCs/>
          <w:i/>
          <w:iCs/>
          <w:sz w:val="24"/>
          <w:szCs w:val="24"/>
        </w:rPr>
        <w:t>Surfacing</w:t>
      </w:r>
    </w:p>
    <w:p w14:paraId="2006243C" w14:textId="378D642F" w:rsidR="00EE7B86" w:rsidRPr="00131FE6" w:rsidRDefault="00EE7B86" w:rsidP="00131FE6">
      <w:pPr>
        <w:jc w:val="center"/>
        <w:rPr>
          <w:rFonts w:ascii="Times New Roman" w:hAnsi="Times New Roman" w:cs="Times New Roman"/>
          <w:sz w:val="24"/>
          <w:szCs w:val="24"/>
        </w:rPr>
      </w:pPr>
      <w:r w:rsidRPr="00131FE6">
        <w:rPr>
          <w:rFonts w:ascii="Times New Roman" w:hAnsi="Times New Roman" w:cs="Times New Roman"/>
          <w:sz w:val="24"/>
          <w:szCs w:val="24"/>
        </w:rPr>
        <w:t>Josie P. Campbell</w:t>
      </w:r>
    </w:p>
    <w:p w14:paraId="7E92A349" w14:textId="09C2CABB" w:rsidR="00EE7B86" w:rsidRPr="00184BAB" w:rsidRDefault="00EE7B86" w:rsidP="00EE7B86">
      <w:pPr>
        <w:rPr>
          <w:rFonts w:ascii="Times New Roman" w:hAnsi="Times New Roman" w:cs="Times New Roman"/>
          <w:sz w:val="20"/>
          <w:szCs w:val="20"/>
        </w:rPr>
      </w:pPr>
      <w:r w:rsidRPr="00184BAB">
        <w:rPr>
          <w:rFonts w:ascii="Times New Roman" w:hAnsi="Times New Roman" w:cs="Times New Roman"/>
          <w:sz w:val="20"/>
          <w:szCs w:val="20"/>
        </w:rPr>
        <w:t xml:space="preserve">In: </w:t>
      </w:r>
      <w:r w:rsidRPr="00184BAB">
        <w:rPr>
          <w:rFonts w:ascii="Times New Roman" w:hAnsi="Times New Roman" w:cs="Times New Roman"/>
          <w:i/>
          <w:iCs/>
          <w:sz w:val="20"/>
          <w:szCs w:val="20"/>
        </w:rPr>
        <w:t>Critical Essays on Margaret Atwood</w:t>
      </w:r>
      <w:r w:rsidRPr="00184BAB">
        <w:rPr>
          <w:rFonts w:ascii="Times New Roman" w:hAnsi="Times New Roman" w:cs="Times New Roman"/>
          <w:sz w:val="20"/>
          <w:szCs w:val="20"/>
        </w:rPr>
        <w:t xml:space="preserve"> , </w:t>
      </w:r>
      <w:r w:rsidR="00424E3E" w:rsidRPr="00184BAB">
        <w:rPr>
          <w:rFonts w:ascii="Times New Roman" w:hAnsi="Times New Roman" w:cs="Times New Roman"/>
          <w:sz w:val="20"/>
          <w:szCs w:val="20"/>
        </w:rPr>
        <w:t>Judith McCombs (ed.) G. K. Hall &amp; Co. • Boston, Massachusetts, 1988.</w:t>
      </w:r>
    </w:p>
    <w:p w14:paraId="27098505" w14:textId="7E1FD32A" w:rsidR="00EE7B86" w:rsidRPr="00131FE6" w:rsidRDefault="00EE7B86" w:rsidP="004E4867">
      <w:pPr>
        <w:jc w:val="both"/>
        <w:rPr>
          <w:rFonts w:ascii="Times New Roman" w:hAnsi="Times New Roman" w:cs="Times New Roman"/>
          <w:sz w:val="24"/>
          <w:szCs w:val="24"/>
        </w:rPr>
      </w:pPr>
      <w:r w:rsidRPr="00131FE6">
        <w:rPr>
          <w:rFonts w:ascii="Times New Roman" w:hAnsi="Times New Roman" w:cs="Times New Roman"/>
          <w:sz w:val="24"/>
          <w:szCs w:val="24"/>
        </w:rPr>
        <w:t xml:space="preserve">Margaret Atwood’s </w:t>
      </w:r>
      <w:r w:rsidRPr="00131FE6">
        <w:rPr>
          <w:rFonts w:ascii="Times New Roman" w:hAnsi="Times New Roman" w:cs="Times New Roman"/>
          <w:i/>
          <w:iCs/>
          <w:sz w:val="24"/>
          <w:szCs w:val="24"/>
        </w:rPr>
        <w:t>Surfacing</w:t>
      </w:r>
      <w:r w:rsidR="00DF55B0" w:rsidRPr="00131FE6">
        <w:rPr>
          <w:rFonts w:ascii="Times New Roman" w:hAnsi="Times New Roman" w:cs="Times New Roman"/>
          <w:sz w:val="24"/>
          <w:szCs w:val="24"/>
        </w:rPr>
        <w:t xml:space="preserve"> </w:t>
      </w:r>
      <w:r w:rsidRPr="00131FE6">
        <w:rPr>
          <w:rFonts w:ascii="Times New Roman" w:hAnsi="Times New Roman" w:cs="Times New Roman"/>
          <w:sz w:val="24"/>
          <w:szCs w:val="24"/>
        </w:rPr>
        <w:t>has been called “a remarkable, and remarkably misunderstandable book.”</w:t>
      </w:r>
      <w:r w:rsidRPr="00131FE6">
        <w:rPr>
          <w:rFonts w:ascii="Times New Roman" w:hAnsi="Times New Roman" w:cs="Times New Roman"/>
          <w:sz w:val="24"/>
          <w:szCs w:val="24"/>
        </w:rPr>
        <w:tab/>
        <w:t xml:space="preserve"> It has been read as a book about death, mortality, and as an</w:t>
      </w:r>
      <w:r w:rsidRPr="00131FE6">
        <w:rPr>
          <w:rFonts w:ascii="Times New Roman" w:hAnsi="Times New Roman" w:cs="Times New Roman"/>
          <w:sz w:val="24"/>
          <w:szCs w:val="24"/>
        </w:rPr>
        <w:tab/>
        <w:t xml:space="preserve">illustration of Atwood’s critical stance. It has also been read as a ghost story, a particularly intriguing point of view, since Atwood herself, in an interview, said: “For me, the interesting thing in that book is the ghost in it, and that’s what I like. And the other stuff is there, it’s quite true, but it is a </w:t>
      </w:r>
      <w:r w:rsidRPr="00F46BBB">
        <w:rPr>
          <w:rFonts w:ascii="Times New Roman" w:hAnsi="Times New Roman" w:cs="Times New Roman"/>
          <w:sz w:val="24"/>
          <w:szCs w:val="24"/>
          <w:u w:val="single"/>
        </w:rPr>
        <w:t>condition</w:t>
      </w:r>
      <w:r w:rsidRPr="00131FE6">
        <w:rPr>
          <w:rFonts w:ascii="Times New Roman" w:hAnsi="Times New Roman" w:cs="Times New Roman"/>
          <w:sz w:val="24"/>
          <w:szCs w:val="24"/>
        </w:rPr>
        <w:t>; it isn’t, to me, what the book is about.”  She goes on to say about ghost stories: “You can have the Henry James kind, in which the ghost that one sees is in fact a fragment of one’s own self which has split off and that to me is the most interesting kind and that is obviously the tradition I’m working in.”</w:t>
      </w:r>
    </w:p>
    <w:p w14:paraId="58AEBE72" w14:textId="4191F7EC" w:rsidR="00EE7B86" w:rsidRPr="00131FE6" w:rsidRDefault="00EE7B86" w:rsidP="004E4867">
      <w:pPr>
        <w:jc w:val="both"/>
        <w:rPr>
          <w:rFonts w:ascii="Times New Roman" w:hAnsi="Times New Roman" w:cs="Times New Roman"/>
          <w:sz w:val="24"/>
          <w:szCs w:val="24"/>
        </w:rPr>
      </w:pPr>
      <w:r w:rsidRPr="00131FE6">
        <w:rPr>
          <w:rFonts w:ascii="Times New Roman" w:hAnsi="Times New Roman" w:cs="Times New Roman"/>
          <w:sz w:val="24"/>
          <w:szCs w:val="24"/>
        </w:rPr>
        <w:t xml:space="preserve">Taking Atwood at her word, for the moment, what we have is a sort of psychological thriller, where the protagonist searches for or comes in conflict with that fragmented self, which appears as a ghost. And on one level, </w:t>
      </w:r>
      <w:r w:rsidRPr="00131FE6">
        <w:rPr>
          <w:rFonts w:ascii="Times New Roman" w:hAnsi="Times New Roman" w:cs="Times New Roman"/>
          <w:i/>
          <w:iCs/>
          <w:sz w:val="24"/>
          <w:szCs w:val="24"/>
        </w:rPr>
        <w:t>Surfacing</w:t>
      </w:r>
      <w:r w:rsidRPr="00131FE6">
        <w:rPr>
          <w:rFonts w:ascii="Times New Roman" w:hAnsi="Times New Roman" w:cs="Times New Roman"/>
          <w:sz w:val="24"/>
          <w:szCs w:val="24"/>
        </w:rPr>
        <w:t xml:space="preserve"> is a ghost story, although </w:t>
      </w:r>
      <w:proofErr w:type="gramStart"/>
      <w:r w:rsidRPr="00131FE6">
        <w:rPr>
          <w:rFonts w:ascii="Times New Roman" w:hAnsi="Times New Roman" w:cs="Times New Roman"/>
          <w:sz w:val="24"/>
          <w:szCs w:val="24"/>
        </w:rPr>
        <w:t>whether or not</w:t>
      </w:r>
      <w:proofErr w:type="gramEnd"/>
      <w:r w:rsidRPr="00131FE6">
        <w:rPr>
          <w:rFonts w:ascii="Times New Roman" w:hAnsi="Times New Roman" w:cs="Times New Roman"/>
          <w:sz w:val="24"/>
          <w:szCs w:val="24"/>
        </w:rPr>
        <w:t xml:space="preserve"> this knowledge </w:t>
      </w:r>
      <w:proofErr w:type="gramStart"/>
      <w:r w:rsidRPr="00131FE6">
        <w:rPr>
          <w:rFonts w:ascii="Times New Roman" w:hAnsi="Times New Roman" w:cs="Times New Roman"/>
          <w:sz w:val="24"/>
          <w:szCs w:val="24"/>
        </w:rPr>
        <w:t>opens up</w:t>
      </w:r>
      <w:proofErr w:type="gramEnd"/>
      <w:r w:rsidRPr="00131FE6">
        <w:rPr>
          <w:rFonts w:ascii="Times New Roman" w:hAnsi="Times New Roman" w:cs="Times New Roman"/>
          <w:sz w:val="24"/>
          <w:szCs w:val="24"/>
        </w:rPr>
        <w:t xml:space="preserve"> the meaning of the novel for us remains to be seen. In fact, </w:t>
      </w:r>
      <w:r w:rsidRPr="00131FE6">
        <w:rPr>
          <w:rFonts w:ascii="Times New Roman" w:hAnsi="Times New Roman" w:cs="Times New Roman"/>
          <w:i/>
          <w:iCs/>
          <w:sz w:val="24"/>
          <w:szCs w:val="24"/>
        </w:rPr>
        <w:t>Surfacing</w:t>
      </w:r>
      <w:r w:rsidRPr="00131FE6">
        <w:rPr>
          <w:rFonts w:ascii="Times New Roman" w:hAnsi="Times New Roman" w:cs="Times New Roman"/>
          <w:sz w:val="24"/>
          <w:szCs w:val="24"/>
        </w:rPr>
        <w:t xml:space="preserve"> has several ghosts, both father and</w:t>
      </w:r>
      <w:r w:rsidR="009D6665">
        <w:rPr>
          <w:rFonts w:ascii="Times New Roman" w:hAnsi="Times New Roman" w:cs="Times New Roman"/>
          <w:sz w:val="24"/>
          <w:szCs w:val="24"/>
        </w:rPr>
        <w:t xml:space="preserve"> </w:t>
      </w:r>
      <w:r w:rsidRPr="00131FE6">
        <w:rPr>
          <w:rFonts w:ascii="Times New Roman" w:hAnsi="Times New Roman" w:cs="Times New Roman"/>
          <w:sz w:val="24"/>
          <w:szCs w:val="24"/>
        </w:rPr>
        <w:t>mother of the narrator-protagonist. Hamlet, by comparison, may have had it easy, with only his father/ ghost to worry about.</w:t>
      </w:r>
    </w:p>
    <w:p w14:paraId="2BA3E028" w14:textId="24181C22" w:rsidR="00EE7B86" w:rsidRPr="00131FE6" w:rsidRDefault="00EE7B86" w:rsidP="004E4867">
      <w:pPr>
        <w:jc w:val="both"/>
        <w:rPr>
          <w:rFonts w:ascii="Times New Roman" w:hAnsi="Times New Roman" w:cs="Times New Roman"/>
          <w:sz w:val="24"/>
          <w:szCs w:val="24"/>
        </w:rPr>
      </w:pPr>
      <w:r w:rsidRPr="00131FE6">
        <w:rPr>
          <w:rFonts w:ascii="Times New Roman" w:hAnsi="Times New Roman" w:cs="Times New Roman"/>
          <w:sz w:val="24"/>
          <w:szCs w:val="24"/>
        </w:rPr>
        <w:t>I would</w:t>
      </w:r>
      <w:r w:rsidR="009D6665">
        <w:rPr>
          <w:rFonts w:ascii="Times New Roman" w:hAnsi="Times New Roman" w:cs="Times New Roman"/>
          <w:sz w:val="24"/>
          <w:szCs w:val="24"/>
        </w:rPr>
        <w:t xml:space="preserve"> </w:t>
      </w:r>
      <w:r w:rsidRPr="00131FE6">
        <w:rPr>
          <w:rFonts w:ascii="Times New Roman" w:hAnsi="Times New Roman" w:cs="Times New Roman"/>
          <w:sz w:val="24"/>
          <w:szCs w:val="24"/>
        </w:rPr>
        <w:t xml:space="preserve">not wish to push a comparison between </w:t>
      </w:r>
      <w:r w:rsidRPr="00131FE6">
        <w:rPr>
          <w:rFonts w:ascii="Times New Roman" w:hAnsi="Times New Roman" w:cs="Times New Roman"/>
          <w:i/>
          <w:iCs/>
          <w:sz w:val="24"/>
          <w:szCs w:val="24"/>
        </w:rPr>
        <w:t>Hamlet</w:t>
      </w:r>
      <w:r w:rsidRPr="00131FE6">
        <w:rPr>
          <w:rFonts w:ascii="Times New Roman" w:hAnsi="Times New Roman" w:cs="Times New Roman"/>
          <w:sz w:val="24"/>
          <w:szCs w:val="24"/>
        </w:rPr>
        <w:t xml:space="preserve"> and Atwood’s </w:t>
      </w:r>
      <w:r w:rsidRPr="00131FE6">
        <w:rPr>
          <w:rFonts w:ascii="Times New Roman" w:hAnsi="Times New Roman" w:cs="Times New Roman"/>
          <w:i/>
          <w:iCs/>
          <w:sz w:val="24"/>
          <w:szCs w:val="24"/>
        </w:rPr>
        <w:t>Surfacing</w:t>
      </w:r>
      <w:r w:rsidRPr="00131FE6">
        <w:rPr>
          <w:rFonts w:ascii="Times New Roman" w:hAnsi="Times New Roman" w:cs="Times New Roman"/>
          <w:sz w:val="24"/>
          <w:szCs w:val="24"/>
        </w:rPr>
        <w:t xml:space="preserve"> any further; what is most illuminating in even a casually tentative comparison, however, is the shape given to the “stuff” by the father/ ghost hovering around the edges and occasionally passing through the form itself. The  heroes of both works learn to accept loss and to confront their own mortality as conditions of life. What may seem surprising is that the hero of Surfacing is a woman, who, not unlike Hamlet, pushes to the outer limits of her existence </w:t>
      </w:r>
      <w:proofErr w:type="gramStart"/>
      <w:r w:rsidRPr="00131FE6">
        <w:rPr>
          <w:rFonts w:ascii="Times New Roman" w:hAnsi="Times New Roman" w:cs="Times New Roman"/>
          <w:sz w:val="24"/>
          <w:szCs w:val="24"/>
        </w:rPr>
        <w:t>in order to</w:t>
      </w:r>
      <w:proofErr w:type="gramEnd"/>
      <w:r w:rsidRPr="00131FE6">
        <w:rPr>
          <w:rFonts w:ascii="Times New Roman" w:hAnsi="Times New Roman" w:cs="Times New Roman"/>
          <w:sz w:val="24"/>
          <w:szCs w:val="24"/>
        </w:rPr>
        <w:t xml:space="preserve"> discover the self.</w:t>
      </w:r>
    </w:p>
    <w:p w14:paraId="205EC187" w14:textId="1B502BBB" w:rsidR="00EE7B86" w:rsidRPr="00131FE6" w:rsidRDefault="00EE7B86" w:rsidP="004E4867">
      <w:pPr>
        <w:jc w:val="both"/>
        <w:rPr>
          <w:rFonts w:ascii="Times New Roman" w:hAnsi="Times New Roman" w:cs="Times New Roman"/>
          <w:sz w:val="24"/>
          <w:szCs w:val="24"/>
        </w:rPr>
      </w:pPr>
      <w:r w:rsidRPr="00131FE6">
        <w:rPr>
          <w:rFonts w:ascii="Times New Roman" w:hAnsi="Times New Roman" w:cs="Times New Roman"/>
          <w:sz w:val="24"/>
          <w:szCs w:val="24"/>
        </w:rPr>
        <w:t xml:space="preserve">Atwood brilliantly reveals through the structure of </w:t>
      </w:r>
      <w:r w:rsidRPr="00131FE6">
        <w:rPr>
          <w:rFonts w:ascii="Times New Roman" w:hAnsi="Times New Roman" w:cs="Times New Roman"/>
          <w:i/>
          <w:iCs/>
          <w:sz w:val="24"/>
          <w:szCs w:val="24"/>
        </w:rPr>
        <w:t>Surfacing</w:t>
      </w:r>
      <w:r w:rsidRPr="00131FE6">
        <w:rPr>
          <w:rFonts w:ascii="Times New Roman" w:hAnsi="Times New Roman" w:cs="Times New Roman"/>
          <w:sz w:val="24"/>
          <w:szCs w:val="24"/>
        </w:rPr>
        <w:t xml:space="preserve"> how the process of myth, used in spinning out this remarkable “ghost story,” becomes a critical tool toward self-awareness, while at the same time the form of the novel also</w:t>
      </w:r>
      <w:r w:rsidR="000F1C4E">
        <w:rPr>
          <w:rFonts w:ascii="Times New Roman" w:hAnsi="Times New Roman" w:cs="Times New Roman"/>
          <w:sz w:val="24"/>
          <w:szCs w:val="24"/>
        </w:rPr>
        <w:t xml:space="preserve"> </w:t>
      </w:r>
      <w:r w:rsidRPr="00131FE6">
        <w:rPr>
          <w:rFonts w:ascii="Times New Roman" w:hAnsi="Times New Roman" w:cs="Times New Roman"/>
          <w:sz w:val="24"/>
          <w:szCs w:val="24"/>
        </w:rPr>
        <w:t>acts as</w:t>
      </w:r>
      <w:r w:rsidR="000F1C4E">
        <w:rPr>
          <w:rFonts w:ascii="Times New Roman" w:hAnsi="Times New Roman" w:cs="Times New Roman"/>
          <w:sz w:val="24"/>
          <w:szCs w:val="24"/>
        </w:rPr>
        <w:t xml:space="preserve"> </w:t>
      </w:r>
      <w:r w:rsidRPr="00131FE6">
        <w:rPr>
          <w:rFonts w:ascii="Times New Roman" w:hAnsi="Times New Roman" w:cs="Times New Roman"/>
          <w:sz w:val="24"/>
          <w:szCs w:val="24"/>
        </w:rPr>
        <w:t xml:space="preserve">poetic meta-criticism of the mythic process itself. Atwood’s use of novelistic form lends richness and complexity to </w:t>
      </w:r>
      <w:r w:rsidRPr="00131FE6">
        <w:rPr>
          <w:rFonts w:ascii="Times New Roman" w:hAnsi="Times New Roman" w:cs="Times New Roman"/>
          <w:i/>
          <w:iCs/>
          <w:sz w:val="24"/>
          <w:szCs w:val="24"/>
        </w:rPr>
        <w:t>Surfacing</w:t>
      </w:r>
      <w:r w:rsidRPr="00131FE6">
        <w:rPr>
          <w:rFonts w:ascii="Times New Roman" w:hAnsi="Times New Roman" w:cs="Times New Roman"/>
          <w:sz w:val="24"/>
          <w:szCs w:val="24"/>
        </w:rPr>
        <w:t xml:space="preserve"> as it draws the reader along with the protagonist into new and deeper perceptions of her journey towards a consciousness of the self as it moves towards its own becoming.</w:t>
      </w:r>
    </w:p>
    <w:p w14:paraId="0C9FAB41" w14:textId="7630CA14" w:rsidR="00EE7B86" w:rsidRDefault="00EE7B86" w:rsidP="00AE5CF1">
      <w:pPr>
        <w:jc w:val="both"/>
        <w:rPr>
          <w:rFonts w:ascii="Times New Roman" w:hAnsi="Times New Roman" w:cs="Times New Roman"/>
          <w:sz w:val="24"/>
          <w:szCs w:val="24"/>
        </w:rPr>
      </w:pPr>
      <w:r w:rsidRPr="00131FE6">
        <w:rPr>
          <w:rFonts w:ascii="Times New Roman" w:hAnsi="Times New Roman" w:cs="Times New Roman"/>
          <w:sz w:val="24"/>
          <w:szCs w:val="24"/>
        </w:rPr>
        <w:t>Finally, we recognize that what stirs and excites us about Atwood’s novel is its human centrality, with its rare view of a woman’s enormous capacity to confront heroically the ghosts of her psyche and —if only momentarily —to conquer them.</w:t>
      </w:r>
    </w:p>
    <w:p w14:paraId="074956E5" w14:textId="66E95952" w:rsidR="00561FF0" w:rsidRPr="00561FF0" w:rsidRDefault="00561FF0" w:rsidP="00EE7B86">
      <w:pPr>
        <w:rPr>
          <w:rFonts w:ascii="Times New Roman" w:hAnsi="Times New Roman" w:cs="Times New Roman"/>
          <w:b/>
          <w:bCs/>
          <w:sz w:val="24"/>
          <w:szCs w:val="24"/>
        </w:rPr>
      </w:pPr>
    </w:p>
    <w:sectPr w:rsidR="00561FF0" w:rsidRPr="00561FF0" w:rsidSect="00BD14E4">
      <w:pgSz w:w="11906" w:h="16838"/>
      <w:pgMar w:top="1418" w:right="1134" w:bottom="1418"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hyphenationZone w:val="283"/>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NDcwMDIytjAyMTAzsTRU0lEKTi0uzszPAykwqQUAnW/VyCwAAAA="/>
  </w:docVars>
  <w:rsids>
    <w:rsidRoot w:val="00EE7B86"/>
    <w:rsid w:val="000774E2"/>
    <w:rsid w:val="000E087D"/>
    <w:rsid w:val="000F1C4E"/>
    <w:rsid w:val="000F3B10"/>
    <w:rsid w:val="00131FE6"/>
    <w:rsid w:val="00152FCC"/>
    <w:rsid w:val="00161BCB"/>
    <w:rsid w:val="00166CF4"/>
    <w:rsid w:val="001764B2"/>
    <w:rsid w:val="00184BAB"/>
    <w:rsid w:val="001B09B6"/>
    <w:rsid w:val="001C0043"/>
    <w:rsid w:val="003469FE"/>
    <w:rsid w:val="003765AF"/>
    <w:rsid w:val="003845CB"/>
    <w:rsid w:val="003A1E9B"/>
    <w:rsid w:val="0042411A"/>
    <w:rsid w:val="00424E3E"/>
    <w:rsid w:val="00450A33"/>
    <w:rsid w:val="004E4867"/>
    <w:rsid w:val="00526E62"/>
    <w:rsid w:val="00561FF0"/>
    <w:rsid w:val="00583623"/>
    <w:rsid w:val="005E2BA3"/>
    <w:rsid w:val="00660793"/>
    <w:rsid w:val="006944AC"/>
    <w:rsid w:val="00696DA6"/>
    <w:rsid w:val="006C0C98"/>
    <w:rsid w:val="006E53E7"/>
    <w:rsid w:val="006F6A07"/>
    <w:rsid w:val="00703E32"/>
    <w:rsid w:val="0075384D"/>
    <w:rsid w:val="007A69B5"/>
    <w:rsid w:val="007C4C7F"/>
    <w:rsid w:val="00813111"/>
    <w:rsid w:val="00855C47"/>
    <w:rsid w:val="008A050F"/>
    <w:rsid w:val="008E2B4C"/>
    <w:rsid w:val="008E407D"/>
    <w:rsid w:val="00902396"/>
    <w:rsid w:val="00950D9F"/>
    <w:rsid w:val="00954962"/>
    <w:rsid w:val="00964806"/>
    <w:rsid w:val="009B6FAF"/>
    <w:rsid w:val="009D6665"/>
    <w:rsid w:val="00A0526D"/>
    <w:rsid w:val="00AE5CF1"/>
    <w:rsid w:val="00B55907"/>
    <w:rsid w:val="00B56177"/>
    <w:rsid w:val="00B673A5"/>
    <w:rsid w:val="00B77C8C"/>
    <w:rsid w:val="00BA065D"/>
    <w:rsid w:val="00BB7848"/>
    <w:rsid w:val="00BD14E4"/>
    <w:rsid w:val="00C36D6B"/>
    <w:rsid w:val="00C40C99"/>
    <w:rsid w:val="00C819CA"/>
    <w:rsid w:val="00CC3B05"/>
    <w:rsid w:val="00CD6671"/>
    <w:rsid w:val="00D12357"/>
    <w:rsid w:val="00D25245"/>
    <w:rsid w:val="00D70307"/>
    <w:rsid w:val="00D90E47"/>
    <w:rsid w:val="00DF55B0"/>
    <w:rsid w:val="00EE085B"/>
    <w:rsid w:val="00EE7B86"/>
    <w:rsid w:val="00F46BBB"/>
    <w:rsid w:val="00FD3143"/>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F049C9"/>
  <w15:chartTrackingRefBased/>
  <w15:docId w15:val="{9C06D6F8-EB5C-4047-8650-32EBD671BD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EE7B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E7B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E7B8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E7B8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E7B8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E7B8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E7B8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E7B8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E7B8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7B8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E7B8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E7B8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E7B8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E7B8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E7B8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E7B8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E7B8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E7B86"/>
    <w:rPr>
      <w:rFonts w:eastAsiaTheme="majorEastAsia" w:cstheme="majorBidi"/>
      <w:color w:val="272727" w:themeColor="text1" w:themeTint="D8"/>
    </w:rPr>
  </w:style>
  <w:style w:type="paragraph" w:styleId="Titolo">
    <w:name w:val="Title"/>
    <w:basedOn w:val="Normale"/>
    <w:next w:val="Normale"/>
    <w:link w:val="TitoloCarattere"/>
    <w:uiPriority w:val="10"/>
    <w:qFormat/>
    <w:rsid w:val="00EE7B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E7B8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E7B8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E7B8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E7B8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E7B86"/>
    <w:rPr>
      <w:i/>
      <w:iCs/>
      <w:color w:val="404040" w:themeColor="text1" w:themeTint="BF"/>
    </w:rPr>
  </w:style>
  <w:style w:type="paragraph" w:styleId="Paragrafoelenco">
    <w:name w:val="List Paragraph"/>
    <w:basedOn w:val="Normale"/>
    <w:uiPriority w:val="34"/>
    <w:qFormat/>
    <w:rsid w:val="00EE7B86"/>
    <w:pPr>
      <w:ind w:left="720"/>
      <w:contextualSpacing/>
    </w:pPr>
  </w:style>
  <w:style w:type="character" w:styleId="Enfasiintensa">
    <w:name w:val="Intense Emphasis"/>
    <w:basedOn w:val="Carpredefinitoparagrafo"/>
    <w:uiPriority w:val="21"/>
    <w:qFormat/>
    <w:rsid w:val="00EE7B86"/>
    <w:rPr>
      <w:i/>
      <w:iCs/>
      <w:color w:val="0F4761" w:themeColor="accent1" w:themeShade="BF"/>
    </w:rPr>
  </w:style>
  <w:style w:type="paragraph" w:styleId="Citazioneintensa">
    <w:name w:val="Intense Quote"/>
    <w:basedOn w:val="Normale"/>
    <w:next w:val="Normale"/>
    <w:link w:val="CitazioneintensaCarattere"/>
    <w:uiPriority w:val="30"/>
    <w:qFormat/>
    <w:rsid w:val="00EE7B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E7B86"/>
    <w:rPr>
      <w:i/>
      <w:iCs/>
      <w:color w:val="0F4761" w:themeColor="accent1" w:themeShade="BF"/>
    </w:rPr>
  </w:style>
  <w:style w:type="character" w:styleId="Riferimentointenso">
    <w:name w:val="Intense Reference"/>
    <w:basedOn w:val="Carpredefinitoparagrafo"/>
    <w:uiPriority w:val="32"/>
    <w:qFormat/>
    <w:rsid w:val="00EE7B86"/>
    <w:rPr>
      <w:b/>
      <w:bCs/>
      <w:smallCaps/>
      <w:color w:val="0F4761" w:themeColor="accent1" w:themeShade="BF"/>
      <w:spacing w:val="5"/>
    </w:rPr>
  </w:style>
  <w:style w:type="character" w:styleId="Rimandocommento">
    <w:name w:val="annotation reference"/>
    <w:basedOn w:val="Carpredefinitoparagrafo"/>
    <w:uiPriority w:val="99"/>
    <w:semiHidden/>
    <w:unhideWhenUsed/>
    <w:rsid w:val="008E407D"/>
    <w:rPr>
      <w:sz w:val="16"/>
      <w:szCs w:val="16"/>
    </w:rPr>
  </w:style>
  <w:style w:type="paragraph" w:styleId="Testocommento">
    <w:name w:val="annotation text"/>
    <w:basedOn w:val="Normale"/>
    <w:link w:val="TestocommentoCarattere"/>
    <w:uiPriority w:val="99"/>
    <w:unhideWhenUsed/>
    <w:rsid w:val="008E407D"/>
    <w:pPr>
      <w:spacing w:line="240" w:lineRule="auto"/>
    </w:pPr>
    <w:rPr>
      <w:sz w:val="20"/>
      <w:szCs w:val="20"/>
    </w:rPr>
  </w:style>
  <w:style w:type="character" w:customStyle="1" w:styleId="TestocommentoCarattere">
    <w:name w:val="Testo commento Carattere"/>
    <w:basedOn w:val="Carpredefinitoparagrafo"/>
    <w:link w:val="Testocommento"/>
    <w:uiPriority w:val="99"/>
    <w:rsid w:val="008E407D"/>
    <w:rPr>
      <w:sz w:val="20"/>
      <w:szCs w:val="20"/>
    </w:rPr>
  </w:style>
  <w:style w:type="paragraph" w:styleId="Soggettocommento">
    <w:name w:val="annotation subject"/>
    <w:basedOn w:val="Testocommento"/>
    <w:next w:val="Testocommento"/>
    <w:link w:val="SoggettocommentoCarattere"/>
    <w:uiPriority w:val="99"/>
    <w:semiHidden/>
    <w:unhideWhenUsed/>
    <w:rsid w:val="008E407D"/>
    <w:rPr>
      <w:b/>
      <w:bCs/>
    </w:rPr>
  </w:style>
  <w:style w:type="character" w:customStyle="1" w:styleId="SoggettocommentoCarattere">
    <w:name w:val="Soggetto commento Carattere"/>
    <w:basedOn w:val="TestocommentoCarattere"/>
    <w:link w:val="Soggettocommento"/>
    <w:uiPriority w:val="99"/>
    <w:semiHidden/>
    <w:rsid w:val="008E407D"/>
    <w:rPr>
      <w:b/>
      <w:bCs/>
      <w:sz w:val="20"/>
      <w:szCs w:val="20"/>
    </w:rPr>
  </w:style>
  <w:style w:type="character" w:styleId="Collegamentoipertestuale">
    <w:name w:val="Hyperlink"/>
    <w:basedOn w:val="Carpredefinitoparagrafo"/>
    <w:uiPriority w:val="99"/>
    <w:unhideWhenUsed/>
    <w:rsid w:val="00161BCB"/>
    <w:rPr>
      <w:color w:val="467886" w:themeColor="hyperlink"/>
      <w:u w:val="single"/>
    </w:rPr>
  </w:style>
  <w:style w:type="character" w:styleId="Menzionenonrisolta">
    <w:name w:val="Unresolved Mention"/>
    <w:basedOn w:val="Carpredefinitoparagrafo"/>
    <w:uiPriority w:val="99"/>
    <w:semiHidden/>
    <w:unhideWhenUsed/>
    <w:rsid w:val="00161B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5A8BDE-4C3B-492F-A4F7-B7E043398D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514</Words>
  <Characters>2461</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Eleonora Fois</dc:creator>
  <cp:keywords/>
  <dc:description/>
  <cp:lastModifiedBy>Eleonora Fois</cp:lastModifiedBy>
  <cp:revision>3</cp:revision>
  <dcterms:created xsi:type="dcterms:W3CDTF">2026-04-10T15:39:00Z</dcterms:created>
  <dcterms:modified xsi:type="dcterms:W3CDTF">2026-04-10T15:39:00Z</dcterms:modified>
</cp:coreProperties>
</file>