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81B" w:rsidRDefault="003B246F" w:rsidP="00962D8C">
      <w:pPr>
        <w:spacing w:after="0" w:line="240" w:lineRule="auto"/>
        <w:jc w:val="both"/>
        <w:outlineLvl w:val="1"/>
        <w:rPr>
          <w:rFonts w:ascii="Times New Roman" w:eastAsia="Times New Roman" w:hAnsi="Times New Roman" w:cs="Times New Roman"/>
          <w:b/>
          <w:bCs/>
          <w:color w:val="000000" w:themeColor="text1"/>
          <w:lang w:eastAsia="it-IT"/>
        </w:rPr>
      </w:pPr>
      <w:r w:rsidRPr="00962D8C">
        <w:rPr>
          <w:rFonts w:ascii="Times New Roman" w:eastAsia="Times New Roman" w:hAnsi="Times New Roman" w:cs="Times New Roman"/>
          <w:b/>
          <w:bCs/>
          <w:color w:val="000000" w:themeColor="text1"/>
          <w:lang w:eastAsia="it-IT"/>
        </w:rPr>
        <w:t xml:space="preserve">La communication humaine: </w:t>
      </w:r>
      <w:hyperlink r:id="rId7" w:tooltip="Goffman La mise en scène de la vie quotidienne" w:history="1">
        <w:r w:rsidRPr="00962D8C">
          <w:rPr>
            <w:rFonts w:ascii="Times New Roman" w:eastAsia="Times New Roman" w:hAnsi="Times New Roman" w:cs="Times New Roman"/>
            <w:b/>
            <w:bCs/>
            <w:color w:val="000000" w:themeColor="text1"/>
            <w:lang w:eastAsia="it-IT"/>
          </w:rPr>
          <w:t>Goffman et l</w:t>
        </w:r>
        <w:r w:rsidR="005B481B" w:rsidRPr="00962D8C">
          <w:rPr>
            <w:rFonts w:ascii="Times New Roman" w:eastAsia="Times New Roman" w:hAnsi="Times New Roman" w:cs="Times New Roman"/>
            <w:b/>
            <w:bCs/>
            <w:color w:val="000000" w:themeColor="text1"/>
            <w:lang w:eastAsia="it-IT"/>
          </w:rPr>
          <w:t>a mise en scène de la vie quotidienne</w:t>
        </w:r>
      </w:hyperlink>
      <w:r w:rsidRPr="00962D8C">
        <w:rPr>
          <w:rFonts w:ascii="Times New Roman" w:eastAsia="Times New Roman" w:hAnsi="Times New Roman" w:cs="Times New Roman"/>
          <w:b/>
          <w:bCs/>
          <w:color w:val="000000" w:themeColor="text1"/>
          <w:lang w:eastAsia="it-IT"/>
        </w:rPr>
        <w:t xml:space="preserve"> </w:t>
      </w:r>
    </w:p>
    <w:p w:rsidR="00962D8C" w:rsidRPr="005B481B" w:rsidRDefault="00962D8C" w:rsidP="00962D8C">
      <w:pPr>
        <w:spacing w:after="0" w:line="240" w:lineRule="auto"/>
        <w:jc w:val="both"/>
        <w:outlineLvl w:val="1"/>
        <w:rPr>
          <w:rFonts w:ascii="Times New Roman" w:eastAsia="Times New Roman" w:hAnsi="Times New Roman" w:cs="Times New Roman"/>
          <w:b/>
          <w:bCs/>
          <w:color w:val="000000" w:themeColor="text1"/>
          <w:lang w:eastAsia="it-IT"/>
        </w:rPr>
      </w:pPr>
    </w:p>
    <w:p w:rsid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Goffman a consacré son œuvre dans l’étude des interactions de face-à-face. Dès sa thèse de 1953, il se propose d’étudier l’« interaction dans notre société comme un type d’ordre social » et lors de son discours d’investiture à la présidence de l’</w:t>
      </w:r>
      <w:r w:rsidRPr="00962D8C">
        <w:rPr>
          <w:rFonts w:ascii="Times New Roman" w:eastAsia="Times New Roman" w:hAnsi="Times New Roman" w:cs="Times New Roman"/>
          <w:i/>
          <w:color w:val="000000" w:themeColor="text1"/>
          <w:lang w:eastAsia="it-IT"/>
        </w:rPr>
        <w:t>American Sociological Association</w:t>
      </w:r>
      <w:r w:rsidRPr="005B481B">
        <w:rPr>
          <w:rFonts w:ascii="Times New Roman" w:eastAsia="Times New Roman" w:hAnsi="Times New Roman" w:cs="Times New Roman"/>
          <w:color w:val="000000" w:themeColor="text1"/>
          <w:lang w:eastAsia="it-IT"/>
        </w:rPr>
        <w:t xml:space="preserve"> il évoque sa préoccupation constante : « Promouvoir l’acceptation de ce domaine du face-à-face comme un domaine analytiquement viable – un domaine qui pourrait être dénommé, à défaut d’un nome plus heureux, l’ordre de l’interaction ». Malgré cette constance, l’œuvre de Goffman est disparate. Comme il le dit dans la note d’avertissement des </w:t>
      </w:r>
      <w:r w:rsidRPr="00962D8C">
        <w:rPr>
          <w:rFonts w:ascii="Times New Roman" w:eastAsia="Times New Roman" w:hAnsi="Times New Roman" w:cs="Times New Roman"/>
          <w:i/>
          <w:color w:val="000000" w:themeColor="text1"/>
          <w:lang w:eastAsia="it-IT"/>
        </w:rPr>
        <w:t>Relations en Public </w:t>
      </w:r>
      <w:r w:rsidRPr="005B481B">
        <w:rPr>
          <w:rFonts w:ascii="Times New Roman" w:eastAsia="Times New Roman" w:hAnsi="Times New Roman" w:cs="Times New Roman"/>
          <w:color w:val="000000" w:themeColor="text1"/>
          <w:lang w:eastAsia="it-IT"/>
        </w:rPr>
        <w:t xml:space="preserve">: « Je fais feu sur une cible en me plaçant à [des] positions différentes et inégalement espacées ; je ne prétends pas faire un tir de barrage ». Cette note d’introduction pourrait servir à définir son œuvre tout entière. Les interactions sont toujours la cible mais Goffman utilise plusieurs métaphores pour en rendre compte. La plus célèbre est la métaphore théâtrale dont il use dans le premier tome de </w:t>
      </w:r>
      <w:r w:rsidRPr="00962D8C">
        <w:rPr>
          <w:rFonts w:ascii="Times New Roman" w:eastAsia="Times New Roman" w:hAnsi="Times New Roman" w:cs="Times New Roman"/>
          <w:i/>
          <w:color w:val="000000" w:themeColor="text1"/>
          <w:lang w:eastAsia="it-IT"/>
        </w:rPr>
        <w:t>La Mise en Scène de la Vie Quotidienne : La Présentation de Soi.</w:t>
      </w:r>
      <w:r w:rsidRPr="005B481B">
        <w:rPr>
          <w:rFonts w:ascii="Times New Roman" w:eastAsia="Times New Roman" w:hAnsi="Times New Roman" w:cs="Times New Roman"/>
          <w:color w:val="000000" w:themeColor="text1"/>
          <w:lang w:eastAsia="it-IT"/>
        </w:rPr>
        <w:t xml:space="preserve"> Goffman met le projecteur sur le « décor » dans lequel les acteurs évoluent, le « masque » qu’ils port</w:t>
      </w:r>
      <w:r w:rsidR="003B246F" w:rsidRPr="00962D8C">
        <w:rPr>
          <w:rFonts w:ascii="Times New Roman" w:eastAsia="Times New Roman" w:hAnsi="Times New Roman" w:cs="Times New Roman"/>
          <w:color w:val="000000" w:themeColor="text1"/>
          <w:lang w:eastAsia="it-IT"/>
        </w:rPr>
        <w:t xml:space="preserve">ent, le « rôle » qu’ils jouent. </w:t>
      </w:r>
    </w:p>
    <w:p w:rsidR="00962D8C" w:rsidRPr="005B481B" w:rsidRDefault="00962D8C" w:rsidP="00962D8C">
      <w:pPr>
        <w:tabs>
          <w:tab w:val="left" w:pos="2694"/>
        </w:tabs>
        <w:spacing w:after="0" w:line="240" w:lineRule="auto"/>
        <w:jc w:val="both"/>
        <w:rPr>
          <w:rFonts w:ascii="Times New Roman" w:eastAsia="Times New Roman" w:hAnsi="Times New Roman" w:cs="Times New Roman"/>
          <w:color w:val="000000" w:themeColor="text1"/>
          <w:lang w:eastAsia="it-IT"/>
        </w:rPr>
      </w:pPr>
    </w:p>
    <w:p w:rsidR="005B481B" w:rsidRDefault="005B481B" w:rsidP="00962D8C">
      <w:pPr>
        <w:tabs>
          <w:tab w:val="left" w:pos="2694"/>
        </w:tabs>
        <w:spacing w:after="0" w:line="240" w:lineRule="auto"/>
        <w:contextualSpacing/>
        <w:jc w:val="both"/>
        <w:rPr>
          <w:rFonts w:ascii="Times New Roman" w:eastAsia="Times New Roman" w:hAnsi="Times New Roman" w:cs="Times New Roman"/>
          <w:color w:val="000000" w:themeColor="text1"/>
          <w:lang w:eastAsia="it-IT"/>
        </w:rPr>
      </w:pPr>
      <w:r w:rsidRPr="00962D8C">
        <w:rPr>
          <w:rFonts w:ascii="Times New Roman" w:eastAsia="Times New Roman" w:hAnsi="Times New Roman" w:cs="Times New Roman"/>
          <w:b/>
          <w:color w:val="000000" w:themeColor="text1"/>
          <w:lang w:eastAsia="it-IT"/>
        </w:rPr>
        <w:t>Le fil directeur de l’œuvre :</w:t>
      </w:r>
      <w:r w:rsidRPr="005B481B">
        <w:rPr>
          <w:rFonts w:ascii="Times New Roman" w:eastAsia="Times New Roman" w:hAnsi="Times New Roman" w:cs="Times New Roman"/>
          <w:color w:val="000000" w:themeColor="text1"/>
          <w:lang w:eastAsia="it-IT"/>
        </w:rPr>
        <w:t xml:space="preserve"> </w:t>
      </w:r>
    </w:p>
    <w:p w:rsidR="00962D8C" w:rsidRPr="005B481B" w:rsidRDefault="00962D8C" w:rsidP="00962D8C">
      <w:pPr>
        <w:tabs>
          <w:tab w:val="left" w:pos="2694"/>
        </w:tabs>
        <w:spacing w:after="0" w:line="240" w:lineRule="auto"/>
        <w:contextualSpacing/>
        <w:jc w:val="both"/>
        <w:rPr>
          <w:rFonts w:ascii="Times New Roman" w:eastAsia="Times New Roman" w:hAnsi="Times New Roman" w:cs="Times New Roman"/>
          <w:color w:val="000000" w:themeColor="text1"/>
          <w:lang w:eastAsia="it-IT"/>
        </w:rPr>
      </w:pPr>
    </w:p>
    <w:p w:rsidR="003B246F" w:rsidRPr="00962D8C"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Partant des unités individuelles et des territoires respectifs de ces unités, il en vient aux échanges possibles entre différentes unités et aux signes qu’envoient ces échanges pour un tiers potentiel. Enfin, il élargit une dernière fois l’angle en rendant compte de l’environnement des individus. L’élargissement est ici entièrement méthodique et s’inscrit dans une volonté de synthétisations successives. Cette approche présuppose l’existence d’un homme heureux lorsqu’il est seul, mais du fait de son incapacité à se suffire à lui-même, doit se confronter à autrui.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L’interaction est un travail de face (</w:t>
      </w:r>
      <w:r w:rsidRPr="00962D8C">
        <w:rPr>
          <w:rFonts w:ascii="Times New Roman" w:eastAsia="Times New Roman" w:hAnsi="Times New Roman" w:cs="Times New Roman"/>
          <w:i/>
          <w:color w:val="000000" w:themeColor="text1"/>
          <w:lang w:eastAsia="it-IT"/>
        </w:rPr>
        <w:t>face work</w:t>
      </w:r>
      <w:r w:rsidRPr="005B481B">
        <w:rPr>
          <w:rFonts w:ascii="Times New Roman" w:eastAsia="Times New Roman" w:hAnsi="Times New Roman" w:cs="Times New Roman"/>
          <w:color w:val="000000" w:themeColor="text1"/>
          <w:lang w:eastAsia="it-IT"/>
        </w:rPr>
        <w:t xml:space="preserve">).  Le travail de face a vocation à créer une stabilité, un ordre social. Ordonner l’interaction pour que chacun conserve l’idée qu’il cherche à rendre de lui-même apparaît alors comme primordial. C’est dans cette optique que le dernier article vient mettre des bâtons dans les roues d’une interaction fragile. L’individu doit toujours assurer l’autre de sa pleine santé mentale. Lorsqu’un malade évolue en société, une alarme générale est déclenchée car le malade dévoile la folie de l’ordre public. En ne jouant plus le jeu, le fou met en branle toute la structure interactionnelle et sociale.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Les individus comme unités</w:t>
      </w:r>
      <w:r w:rsidR="003B246F" w:rsidRPr="00962D8C">
        <w:rPr>
          <w:rFonts w:ascii="Times New Roman" w:eastAsia="Times New Roman" w:hAnsi="Times New Roman" w:cs="Times New Roman"/>
          <w:color w:val="000000" w:themeColor="text1"/>
          <w:lang w:eastAsia="it-IT"/>
        </w:rPr>
        <w:t xml:space="preserve">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Le premier article cherche à redéfinir la notion d’individu. Goffman propose d’envisager l’individu, non comme une substance mais comme un ensemble de prédicats. L’individu de Goffman est un individu de l’apparaître qui évolue selon les situations, ou selon les interactants auxquels il est confronté.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footnoteReference w:customMarkFollows="1" w:id="2"/>
        <w:t xml:space="preserve">Les territoires du moi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Le deuxième article du recueil est consacré aux territoires du moi. Comme nous venons de le voir, l’interaction des atomes individuels nécessite l’instauration d’un droit. L’idée développée dans ce chapitre est que les règles du droit n’ont pas seulement pour but de permettre la circulation, mais aussi de marquer les territoires respectifs des individus. Comme le dit Goffman à la page 43 du recueil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 Au centre de l’organisation sociale se trouve le concept de droit et, autour de ce centre, les vicissitudes de la défense de ces droits.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Le droit est envisagé comme un titre de possession, de contrôle, d’usage ou de libre disposition d’un bien par un ayant droit. La méthode de segmentation des droits fonctionne par une territorialisation et un marquage des territoires concernés. Goffman distingue trois formes de territoires : les territoires fixes qui sont les propriétés d’un ayant droit unique, les territoires situationnels qui font partie de l’équipement matériel fixe d’un lieu, et les réserves égocentriques qui sont les objets gravitant autour de l’ayant droit. C’est au sein de ces territoires que l’individu évolue et se doit de respecter les règles propres à chaque territoire. Chaque territoire possède un droit spécifique ayant pour but de montrer à chaque instant, à tout individu potentiel, ce qui appartient à qui. Le droit dans le domaine public surdétermine symboliquement les possessions respectives de chacun. Cette surdétermination symbolique n’est néanmoins possible que parce que les individus marquent leur territoire. Un marqueur est un signe qui indique qu’un possesseur putatif revendique une réserve. Les marqueurs peuvent être divisés en deux groupes dont chacun joue un rôle particulier : un rôle d’attribution d’une part et de séparation d’autre part. Ils jouent un rôle d’attribution dans le sens où ils permettent d’identifier leur possesseur et de séparation car les marqueurs évoluent au sein d’un territoire. Ils </w:t>
      </w:r>
      <w:r w:rsidRPr="005B481B">
        <w:rPr>
          <w:rFonts w:ascii="Times New Roman" w:eastAsia="Times New Roman" w:hAnsi="Times New Roman" w:cs="Times New Roman"/>
          <w:color w:val="000000" w:themeColor="text1"/>
          <w:lang w:eastAsia="it-IT"/>
        </w:rPr>
        <w:lastRenderedPageBreak/>
        <w:t xml:space="preserve">sont en quelque sorte la matière du territoire. Suivant notre distinction nous pouvons regrouper les différents types de marqueurs dégagés par Goffman. Les marqueurs « centraux », qui concernent la revendication d’objets placés au centre d’un territoire (journal, portefeuille…), les marqueurs « signets », qui portent la marque de leur signataire indépendamment de la présence de celui-ci (photographies,…), et les marqueurs « ensembles », le fait qu’une personne soit revendiquée comme étant avec une autre personne, peuvent être regroupés sous l’ensemble que nous avons nommé marqueur d’attribution. Les marqueurs « frontières » (accoudoir de théâtre, ligne de séparation des banques…), qui marquent la ligne de séparation entre deux territoires adjacents, peuvent entrer dans la catégorie des marqueurs de séparation.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Les territoires ne sont cependant pas à l’abri d’une invasion. S’ils sont surdéterminés par les marqueurs c’est qu’ils ne sont jamais définitivement acquis. Des violations et des offenses territoriales peuvent être provoquées par d’autres individus. Les violations et offenses sont toujours le fait d’un individu qui envahit, de manière volontaire ou non, un territoire revendiqué. La violation se produit selon le modèle du corps à corps. Goffman envisage la violation en sollicitant l’intervention des cinq sens. Une violation peut intervenir lorsqu’un individu nous regarde de manière indiscrète, lorsqu’il produit des nuisances sonores ou olfactives, ou encore lorsqu’il nous touche sans autorisation. Nous avons donc à faire, comme chez Durkheim, à des corps sacrés au sens étymologique du terme, c’est-à-dire que nous avons à faire à des corps que l’on ne doit pas toucher. De là nous pouvons conclure que le droit public possède cet autre impératif d’organiser les règles de l’interaction charnelle. Mais il nous semble également que les corps, en plus d’être sacré, sont envisagés comme fragiles. Ils doivent être manipulés selon des règles strictes car l’importance de garder la face en public est si grande qu’une légère offense peut ouvrir un abîme. Il suffit de peu pour détruire publiquement un individu. C’est la raison pour laquelle de minutieuses précautions sont requises. L’être social décrit par Goffman cherche à s’enraciner, à se créer des territoires puisque derrière l’étiquette, la substance est fragile. La sortie de territoire est toujours un risque social majeur. Sortir de son territoire personnel, c’est s’exposer au grand jour, c’est retrouver l’enfer des autres. Pourtant, toute interaction nécessite un passage de frontière et une entrée en territoire étranger. D’où la nécessité d’envisager l’ordre public come celui au sein duquel se produit l’échange. C’est ce dont il est question dans les troisième et quatrième articles.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Les échanges confirmatifs et les échanges réparateurs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L’individu est considéré comme une instance sacrée. C’est pourquoi lorsque Goffman aborde la question des échanges, il les envisage comme des rituels. Le troisième article s’ouvre sur le constat de la baisse des rituels religieux. Aujourd’hui les seuls rituels partagés par tous sont les rituels interpersonnels. Il y a peut être ici la clé de la sacralisation des individus. Le sacré serait ainsi passé d’une orientation vers dieu à une orientation vers les affaires humaines profanes. Le profane est devenu sacré. Il est possible ici d’interroger l’homme vu par Goffman. L’homme doit-il nécessairement être habité par une forme de sacré ou n’y a-t-il simplement là qu’une réappropriation des thèmes et méthodes durkheimiennes ? Nous ne pouvons dans ce travail que poser la question. Goffman envisage ainsi le rituel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 Le rituel est un acte formel et conventionnalisé par lequel un individu manifeste son respect et sa considération envers un objet de valeur absolue, à cet objet ou à son représentant.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footnoteReference w:customMarkFollows="1" w:id="3"/>
        <w:t xml:space="preserve">Le rituel possède un versant positif et négatif. Le rituel ou l’échange confirmatif concerne la réaction nécessaire produite par un individu lorsqu’un tiers entre en contact avec lui. Dès qu’un individu sollicite un tiers, ce dernier ne peut pas ne pas donner de réponse au premier. Peu importe la réponse, il réagira. Même un silence est la preuve de l’absence de volonté d’interaction. Ces échanges peuvent surgir dans trois circonstances qui sont les affaires, le hasard ou les cérémonies. Les échanges réparateurs pour leur part, concernent les cas dans lesquels un individu ayant offensé un tiers, doit réparer le tort causé. Dans une infraction, il y a une personne, soumise à une obligation, qui offense et une personne dans l’attente de réparation, un ayant droit, qui est offensé. « La fonction de l’activité réparatrice est de changer la signification attribuable à un acte, de transformer ce qu’on pourrait considérer comme offensant en ce qu’on peut tenir pour acceptable.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footnoteReference w:customMarkFollows="1" w:id="4"/>
        <w:t xml:space="preserve">L’offenseur est obligé de solliciter l’ensemble de ses capacités pour parvenir à rétablir la situation de l’offensé. Il utilise son corps et son esprit et les fait exprimer pour parvenir aux trois possibilités considérées : les justifications, les excuses, et les prières. La justification intervient lorsque l’offense est </w:t>
      </w:r>
      <w:r w:rsidRPr="005B481B">
        <w:rPr>
          <w:rFonts w:ascii="Times New Roman" w:eastAsia="Times New Roman" w:hAnsi="Times New Roman" w:cs="Times New Roman"/>
          <w:color w:val="000000" w:themeColor="text1"/>
          <w:lang w:eastAsia="it-IT"/>
        </w:rPr>
        <w:lastRenderedPageBreak/>
        <w:t xml:space="preserve">assumée mais lorsqu’on considère que l’offensé n’a pas de raison de se sentir tel. Il s’agit en quelque sorte d’un malentendu. Les excuses sont requises quand l’offenseur ne voulait pas être offensant et les prières sont des demandes de réalisation d’une action future qui peuvent potentiellement offenser un tiers. Si l’offense est assumée, il n’y a pas recherche de réparation. Un échange réparateur comporte trois éléments : l’offense, l’offenseur et la victime. Il suit le mouvement suivant (qui peut s’adapter selon les cas) : une fois l’offense commise, il y a tentative de réparation puis satisfaction lorsque la victime répond positivement à la réparation. S’il y a satisfaction réelle l’offenseur doit remercier la victime, c’est l’appréciation. Et enfin la victime peut manifester une appréciation de l’appréciation, c’est la minimisation. L’échange réparateur comporte donc quatre phases qui prennent la forme d’un dialogue où chacun s’exprime tour à tour deux fois, une fois pour réparer l’échange, une fois pour réaffirmer la valeur réciproque des deux interactants. Il faut d’abord remettre les choses en ordre puis réaffirmer la valeur de l’autre pour que l’offense ne remette pas en cause l’être de la victime et de l’offenseur. Comme le dit Goffman à la page 159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t xml:space="preserve">« Nous soutenons que l’individu agit constamment de façon à faire savoir que son caractère est sain et sa compétence raisonnable. » </w:t>
      </w:r>
    </w:p>
    <w:p w:rsidR="005B481B" w:rsidRPr="005B481B" w:rsidRDefault="005B481B" w:rsidP="00962D8C">
      <w:pPr>
        <w:tabs>
          <w:tab w:val="left" w:pos="2694"/>
        </w:tabs>
        <w:spacing w:after="0" w:line="240" w:lineRule="auto"/>
        <w:jc w:val="both"/>
        <w:rPr>
          <w:rFonts w:ascii="Times New Roman" w:eastAsia="Times New Roman" w:hAnsi="Times New Roman" w:cs="Times New Roman"/>
          <w:color w:val="000000" w:themeColor="text1"/>
          <w:lang w:eastAsia="it-IT"/>
        </w:rPr>
      </w:pPr>
      <w:r w:rsidRPr="005B481B">
        <w:rPr>
          <w:rFonts w:ascii="Times New Roman" w:eastAsia="Times New Roman" w:hAnsi="Times New Roman" w:cs="Times New Roman"/>
          <w:color w:val="000000" w:themeColor="text1"/>
          <w:lang w:eastAsia="it-IT"/>
        </w:rPr>
        <w:footnoteReference w:customMarkFollows="1" w:id="5"/>
        <w:t xml:space="preserve">L’offenseur comme la victime doivent se montrer qu’ils ne sont pas substantiellement offenseur ou victime. L’échange réparateur a en dernière instance l’objectif de réhabiliter l’être des individus concernés. La victime satisfaite réhabilite l’offenseur au sein de la société et le fait sortir d’une possible détermination à sens unique. Ainsi l’échange se traduit toujours par un empiètement territoriale avec pour objectif, soit un plus de relation, soit une réparation d’une relation défectueuse. Le premier mouvement d’un échange pose deux limites : il limite d’abord l’agressivité car le but visé n’est pas l’affrontement et il pose une attente, préfigure la façon dont l’échange va se dérouler. L’extrême codification de l’échange est due à la possibilité constante de profanation de l’autre. Une autre caractéristique des échanges est qu’ils sont accessibles à tout individu. L’échange, en tant que lien, est porteur de signes. Les signes du lien sont l’enjeu de l’article cinq. </w:t>
      </w:r>
    </w:p>
    <w:p w:rsidR="00962D8C" w:rsidRDefault="00962D8C" w:rsidP="00962D8C">
      <w:pPr>
        <w:spacing w:after="0" w:line="240" w:lineRule="auto"/>
        <w:jc w:val="both"/>
        <w:rPr>
          <w:rFonts w:ascii="Times New Roman" w:hAnsi="Times New Roman" w:cs="Times New Roman"/>
          <w:color w:val="000000" w:themeColor="text1"/>
        </w:rPr>
      </w:pPr>
    </w:p>
    <w:p w:rsidR="00962D8C" w:rsidRDefault="00962D8C" w:rsidP="00962D8C">
      <w:pPr>
        <w:spacing w:after="0" w:line="240" w:lineRule="auto"/>
        <w:jc w:val="both"/>
        <w:rPr>
          <w:rFonts w:ascii="Times New Roman" w:hAnsi="Times New Roman" w:cs="Times New Roman"/>
          <w:color w:val="000000" w:themeColor="text1"/>
        </w:rPr>
      </w:pPr>
    </w:p>
    <w:p w:rsidR="00A81838" w:rsidRPr="00962D8C" w:rsidRDefault="00962D8C" w:rsidP="00962D8C">
      <w:pPr>
        <w:spacing w:after="0" w:line="240" w:lineRule="auto"/>
        <w:jc w:val="both"/>
        <w:rPr>
          <w:rFonts w:ascii="Times New Roman" w:hAnsi="Times New Roman" w:cs="Times New Roman"/>
          <w:b/>
          <w:color w:val="000000" w:themeColor="text1"/>
        </w:rPr>
      </w:pPr>
      <w:r w:rsidRPr="00962D8C">
        <w:rPr>
          <w:rFonts w:ascii="Times New Roman" w:hAnsi="Times New Roman" w:cs="Times New Roman"/>
          <w:b/>
          <w:color w:val="000000" w:themeColor="text1"/>
        </w:rPr>
        <w:t>Synthèse</w:t>
      </w:r>
      <w:r w:rsidR="00940E0E" w:rsidRPr="00962D8C">
        <w:rPr>
          <w:rFonts w:ascii="Times New Roman" w:hAnsi="Times New Roman" w:cs="Times New Roman"/>
          <w:b/>
          <w:color w:val="000000" w:themeColor="text1"/>
        </w:rPr>
        <w:t> :</w:t>
      </w:r>
    </w:p>
    <w:p w:rsidR="00962D8C" w:rsidRPr="00962D8C" w:rsidRDefault="00962D8C" w:rsidP="00962D8C">
      <w:pPr>
        <w:spacing w:after="0" w:line="240" w:lineRule="auto"/>
        <w:jc w:val="both"/>
        <w:rPr>
          <w:rFonts w:ascii="Times New Roman" w:hAnsi="Times New Roman" w:cs="Times New Roman"/>
          <w:color w:val="000000" w:themeColor="text1"/>
        </w:rPr>
      </w:pPr>
    </w:p>
    <w:p w:rsidR="00940E0E" w:rsidRPr="00962D8C" w:rsidRDefault="00940E0E"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 xml:space="preserve">La construction de la relation interpersonnelle se fait à partir de l’analyse de marqueurs relationnels qui permettent de dégager trois dimensions de la relation : horizontale (axe distance vs familiarité) ; verticale (axe domination vs soumission) et affective (axe coopération vs conflit). </w:t>
      </w:r>
    </w:p>
    <w:p w:rsidR="00940E0E" w:rsidRDefault="00940E0E"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 xml:space="preserve">Degré de ritualisation : les malentendus liés à la communication interculturelle. </w:t>
      </w:r>
    </w:p>
    <w:p w:rsidR="00962D8C" w:rsidRPr="00962D8C" w:rsidRDefault="00962D8C" w:rsidP="00962D8C">
      <w:pPr>
        <w:spacing w:after="0" w:line="240" w:lineRule="auto"/>
        <w:jc w:val="both"/>
        <w:rPr>
          <w:rFonts w:ascii="Times New Roman" w:hAnsi="Times New Roman" w:cs="Times New Roman"/>
          <w:color w:val="000000" w:themeColor="text1"/>
        </w:rPr>
      </w:pPr>
    </w:p>
    <w:p w:rsidR="00940E0E" w:rsidRPr="00962D8C" w:rsidRDefault="00940E0E"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Échange réparateur (trois composantes = offense, réparation de l’offense et réaction de l’offensé).</w:t>
      </w:r>
    </w:p>
    <w:p w:rsidR="00962D8C" w:rsidRDefault="00940E0E"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 xml:space="preserve">Ex. Pardon ; Excuse-moi ; Je suis désolé ; Mon réveil n’a pas sonné ; Vous êtes tout excusé ; C’est trop facile de s’excuser. </w:t>
      </w:r>
    </w:p>
    <w:p w:rsidR="00962D8C" w:rsidRPr="00962D8C" w:rsidRDefault="00962D8C" w:rsidP="00962D8C">
      <w:pPr>
        <w:spacing w:after="0" w:line="240" w:lineRule="auto"/>
        <w:jc w:val="both"/>
        <w:rPr>
          <w:rFonts w:ascii="Times New Roman" w:hAnsi="Times New Roman" w:cs="Times New Roman"/>
          <w:color w:val="000000" w:themeColor="text1"/>
        </w:rPr>
      </w:pPr>
    </w:p>
    <w:p w:rsidR="00962D8C" w:rsidRPr="00962D8C" w:rsidRDefault="00962D8C"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 xml:space="preserve">Échange complimenteur (deux composantes : intervention initiative et intervention réactive de l’interlocuteur). L’échange complimenteur montre un emploi risqué de la parole : il y a une incursion territoriale (une menace implicite) du territoire et l’interlocuteur tente de protéger son individualité. </w:t>
      </w:r>
    </w:p>
    <w:p w:rsidR="00962D8C" w:rsidRPr="00962D8C" w:rsidRDefault="00962D8C" w:rsidP="00962D8C">
      <w:pPr>
        <w:spacing w:after="0" w:line="240" w:lineRule="auto"/>
        <w:jc w:val="both"/>
        <w:rPr>
          <w:rFonts w:ascii="Times New Roman" w:hAnsi="Times New Roman" w:cs="Times New Roman"/>
          <w:color w:val="000000" w:themeColor="text1"/>
        </w:rPr>
      </w:pPr>
    </w:p>
    <w:p w:rsidR="00940E0E" w:rsidRPr="00962D8C" w:rsidRDefault="00962D8C"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Ex. 1</w:t>
      </w:r>
      <w:r w:rsidRPr="00962D8C">
        <w:rPr>
          <w:rFonts w:ascii="Times New Roman" w:hAnsi="Times New Roman" w:cs="Times New Roman"/>
          <w:color w:val="000000" w:themeColor="text1"/>
          <w:vertAlign w:val="superscript"/>
        </w:rPr>
        <w:t>ère</w:t>
      </w:r>
      <w:r w:rsidRPr="00962D8C">
        <w:rPr>
          <w:rFonts w:ascii="Times New Roman" w:hAnsi="Times New Roman" w:cs="Times New Roman"/>
          <w:color w:val="000000" w:themeColor="text1"/>
        </w:rPr>
        <w:t xml:space="preserve"> composante : Assertion évaluative = T’as de beaux yeux, tu sais ! ; Vous avez un enfant vraiment délicieux ; Il a vraiment bon goût votre mari. </w:t>
      </w:r>
      <w:r w:rsidR="00940E0E" w:rsidRPr="00962D8C">
        <w:rPr>
          <w:rFonts w:ascii="Times New Roman" w:hAnsi="Times New Roman" w:cs="Times New Roman"/>
          <w:color w:val="000000" w:themeColor="text1"/>
        </w:rPr>
        <w:t xml:space="preserve"> </w:t>
      </w:r>
    </w:p>
    <w:p w:rsidR="00962D8C" w:rsidRPr="00962D8C" w:rsidRDefault="00962D8C" w:rsidP="00962D8C">
      <w:pPr>
        <w:spacing w:after="0" w:line="240" w:lineRule="auto"/>
        <w:jc w:val="both"/>
        <w:rPr>
          <w:rFonts w:ascii="Times New Roman" w:hAnsi="Times New Roman" w:cs="Times New Roman"/>
          <w:color w:val="000000" w:themeColor="text1"/>
        </w:rPr>
      </w:pPr>
      <w:r w:rsidRPr="00962D8C">
        <w:rPr>
          <w:rFonts w:ascii="Times New Roman" w:hAnsi="Times New Roman" w:cs="Times New Roman"/>
          <w:color w:val="000000" w:themeColor="text1"/>
        </w:rPr>
        <w:t>Ex. 2</w:t>
      </w:r>
      <w:r w:rsidRPr="00962D8C">
        <w:rPr>
          <w:rFonts w:ascii="Times New Roman" w:hAnsi="Times New Roman" w:cs="Times New Roman"/>
          <w:color w:val="000000" w:themeColor="text1"/>
          <w:vertAlign w:val="superscript"/>
        </w:rPr>
        <w:t>ème</w:t>
      </w:r>
      <w:r w:rsidRPr="00962D8C">
        <w:rPr>
          <w:rFonts w:ascii="Times New Roman" w:hAnsi="Times New Roman" w:cs="Times New Roman"/>
          <w:color w:val="000000" w:themeColor="text1"/>
        </w:rPr>
        <w:t xml:space="preserve"> composante : Je me trouve pas mal comme ça, c’est vrai ; Arrête de te ficher de moi ; Toi aussi (Refus du compliment ; déplacement sur l’autre) ; Tu dis ça pour me faire plaisir (Contestation de la sincérité du complimenteur). </w:t>
      </w:r>
    </w:p>
    <w:sectPr w:rsidR="00962D8C" w:rsidRPr="00962D8C" w:rsidSect="00A8183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3971" w:rsidRDefault="00A63971" w:rsidP="005B481B">
      <w:pPr>
        <w:spacing w:after="0" w:line="240" w:lineRule="auto"/>
      </w:pPr>
      <w:r>
        <w:separator/>
      </w:r>
    </w:p>
  </w:endnote>
  <w:endnote w:type="continuationSeparator" w:id="1">
    <w:p w:rsidR="00A63971" w:rsidRDefault="00A63971" w:rsidP="005B48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3971" w:rsidRDefault="00A63971" w:rsidP="005B481B">
      <w:pPr>
        <w:spacing w:after="0" w:line="240" w:lineRule="auto"/>
      </w:pPr>
      <w:r>
        <w:separator/>
      </w:r>
    </w:p>
  </w:footnote>
  <w:footnote w:type="continuationSeparator" w:id="1">
    <w:p w:rsidR="00A63971" w:rsidRDefault="00A63971" w:rsidP="005B481B">
      <w:pPr>
        <w:spacing w:after="0" w:line="240" w:lineRule="auto"/>
      </w:pPr>
      <w:r>
        <w:continuationSeparator/>
      </w:r>
    </w:p>
  </w:footnote>
  <w:footnote w:id="2">
    <w:p w:rsidR="005B481B" w:rsidRDefault="005B481B" w:rsidP="005B481B"/>
  </w:footnote>
  <w:footnote w:id="3">
    <w:p w:rsidR="005B481B" w:rsidRDefault="005B481B" w:rsidP="005B481B"/>
  </w:footnote>
  <w:footnote w:id="4">
    <w:p w:rsidR="005B481B" w:rsidRDefault="005B481B" w:rsidP="005B481B"/>
  </w:footnote>
  <w:footnote w:id="5">
    <w:p w:rsidR="005B481B" w:rsidRDefault="005B481B" w:rsidP="005B481B"/>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0"/>
    <w:footnote w:id="1"/>
  </w:footnotePr>
  <w:endnotePr>
    <w:endnote w:id="0"/>
    <w:endnote w:id="1"/>
  </w:endnotePr>
  <w:compat/>
  <w:rsids>
    <w:rsidRoot w:val="005B481B"/>
    <w:rsid w:val="001E752B"/>
    <w:rsid w:val="00277179"/>
    <w:rsid w:val="003B246F"/>
    <w:rsid w:val="00443FB8"/>
    <w:rsid w:val="005B481B"/>
    <w:rsid w:val="006A43EF"/>
    <w:rsid w:val="008E49F7"/>
    <w:rsid w:val="00940E0E"/>
    <w:rsid w:val="00962D8C"/>
    <w:rsid w:val="00A63971"/>
    <w:rsid w:val="00A81838"/>
    <w:rsid w:val="00D74283"/>
    <w:rsid w:val="00FD724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81838"/>
    <w:rPr>
      <w:lang w:val="fr-FR"/>
    </w:rPr>
  </w:style>
  <w:style w:type="paragraph" w:styleId="Titolo2">
    <w:name w:val="heading 2"/>
    <w:basedOn w:val="Normale"/>
    <w:link w:val="Titolo2Carattere"/>
    <w:uiPriority w:val="9"/>
    <w:qFormat/>
    <w:rsid w:val="005B481B"/>
    <w:pPr>
      <w:spacing w:before="100" w:beforeAutospacing="1" w:after="100" w:afterAutospacing="1" w:line="240" w:lineRule="auto"/>
      <w:outlineLvl w:val="1"/>
    </w:pPr>
    <w:rPr>
      <w:rFonts w:ascii="Times New Roman" w:eastAsia="Times New Roman" w:hAnsi="Times New Roman" w:cs="Times New Roman"/>
      <w:b/>
      <w:bCs/>
      <w:sz w:val="36"/>
      <w:szCs w:val="36"/>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5B481B"/>
    <w:rPr>
      <w:rFonts w:ascii="Times New Roman" w:eastAsia="Times New Roman" w:hAnsi="Times New Roman" w:cs="Times New Roman"/>
      <w:b/>
      <w:bCs/>
      <w:sz w:val="36"/>
      <w:szCs w:val="36"/>
      <w:lang w:eastAsia="it-IT"/>
    </w:rPr>
  </w:style>
  <w:style w:type="character" w:styleId="Collegamentoipertestuale">
    <w:name w:val="Hyperlink"/>
    <w:basedOn w:val="Carpredefinitoparagrafo"/>
    <w:uiPriority w:val="99"/>
    <w:semiHidden/>
    <w:unhideWhenUsed/>
    <w:rsid w:val="005B481B"/>
    <w:rPr>
      <w:color w:val="0000FF"/>
      <w:u w:val="single"/>
    </w:rPr>
  </w:style>
  <w:style w:type="paragraph" w:styleId="NormaleWeb">
    <w:name w:val="Normal (Web)"/>
    <w:basedOn w:val="Normale"/>
    <w:uiPriority w:val="99"/>
    <w:semiHidden/>
    <w:unhideWhenUsed/>
    <w:rsid w:val="005B481B"/>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corsivo">
    <w:name w:val="Emphasis"/>
    <w:basedOn w:val="Carpredefinitoparagrafo"/>
    <w:uiPriority w:val="20"/>
    <w:qFormat/>
    <w:rsid w:val="005B481B"/>
    <w:rPr>
      <w:i/>
      <w:iCs/>
    </w:rPr>
  </w:style>
  <w:style w:type="paragraph" w:styleId="Paragrafoelenco">
    <w:name w:val="List Paragraph"/>
    <w:basedOn w:val="Normale"/>
    <w:uiPriority w:val="34"/>
    <w:qFormat/>
    <w:rsid w:val="005B481B"/>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5B481B"/>
    <w:rPr>
      <w:b/>
      <w:bCs/>
    </w:rPr>
  </w:style>
  <w:style w:type="paragraph" w:styleId="Testonotaapidipagina">
    <w:name w:val="footnote text"/>
    <w:basedOn w:val="Normale"/>
    <w:link w:val="TestonotaapidipaginaCarattere"/>
    <w:uiPriority w:val="99"/>
    <w:semiHidden/>
    <w:unhideWhenUsed/>
    <w:rsid w:val="005B481B"/>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TestonotaapidipaginaCarattere">
    <w:name w:val="Testo nota a piè di pagina Carattere"/>
    <w:basedOn w:val="Carpredefinitoparagrafo"/>
    <w:link w:val="Testonotaapidipagina"/>
    <w:uiPriority w:val="99"/>
    <w:semiHidden/>
    <w:rsid w:val="005B481B"/>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3827962">
      <w:bodyDiv w:val="1"/>
      <w:marLeft w:val="0"/>
      <w:marRight w:val="0"/>
      <w:marTop w:val="0"/>
      <w:marBottom w:val="0"/>
      <w:divBdr>
        <w:top w:val="none" w:sz="0" w:space="0" w:color="auto"/>
        <w:left w:val="none" w:sz="0" w:space="0" w:color="auto"/>
        <w:bottom w:val="none" w:sz="0" w:space="0" w:color="auto"/>
        <w:right w:val="none" w:sz="0" w:space="0" w:color="auto"/>
      </w:divBdr>
    </w:div>
    <w:div w:id="472134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brouillard-charnel.over-blog.com/article-goff-72502858.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AEE50-B1CD-4525-B4C4-B77D264D2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Pages>
  <Words>2075</Words>
  <Characters>11831</Characters>
  <Application>Microsoft Office Word</Application>
  <DocSecurity>0</DocSecurity>
  <Lines>98</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dc:creator>
  <cp:lastModifiedBy>ANONIMO</cp:lastModifiedBy>
  <cp:revision>3</cp:revision>
  <dcterms:created xsi:type="dcterms:W3CDTF">2016-03-11T14:20:00Z</dcterms:created>
  <dcterms:modified xsi:type="dcterms:W3CDTF">2021-12-27T15:06:00Z</dcterms:modified>
</cp:coreProperties>
</file>